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left="-105" w:leftChars="-50" w:right="-105" w:rightChars="-50"/>
        <w:jc w:val="center"/>
        <w:rPr>
          <w:rFonts w:hint="eastAsia" w:ascii="方正小标宋简体" w:hAnsi="Calibri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 w:cs="黑体"/>
          <w:color w:val="000000"/>
          <w:sz w:val="44"/>
          <w:szCs w:val="44"/>
        </w:rPr>
        <w:t>关于顺河回族区202</w:t>
      </w:r>
      <w:r>
        <w:rPr>
          <w:rFonts w:hint="eastAsia" w:ascii="方正小标宋简体" w:hAnsi="Calibri" w:eastAsia="方正小标宋简体" w:cs="黑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Calibri" w:eastAsia="方正小标宋简体" w:cs="黑体"/>
          <w:color w:val="000000"/>
          <w:sz w:val="44"/>
          <w:szCs w:val="44"/>
        </w:rPr>
        <w:t>年预算执行情况和</w:t>
      </w:r>
    </w:p>
    <w:p>
      <w:pPr>
        <w:spacing w:line="700" w:lineRule="exact"/>
        <w:ind w:left="-105" w:leftChars="-50" w:right="-105" w:rightChars="-50"/>
        <w:jc w:val="center"/>
        <w:rPr>
          <w:rFonts w:hint="default" w:ascii="方正小标宋简体" w:hAnsi="Calibri" w:eastAsia="方正小标宋简体" w:cs="黑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黑体"/>
          <w:color w:val="000000"/>
          <w:sz w:val="44"/>
          <w:szCs w:val="44"/>
        </w:rPr>
        <w:t>202</w:t>
      </w:r>
      <w:r>
        <w:rPr>
          <w:rFonts w:hint="eastAsia" w:ascii="方正小标宋简体" w:hAnsi="Calibri" w:eastAsia="方正小标宋简体" w:cs="黑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Calibri" w:eastAsia="方正小标宋简体" w:cs="黑体"/>
          <w:color w:val="000000"/>
          <w:sz w:val="44"/>
          <w:szCs w:val="44"/>
        </w:rPr>
        <w:t>年预算草案的报告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hint="default" w:ascii="Times New Roman" w:hAnsi="Times New Roman" w:eastAsia="楷体_GB2312" w:cs="Times New Roman"/>
          <w:color w:val="000000"/>
          <w:spacing w:val="-17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楷体_GB2312" w:cs="Times New Roman"/>
          <w:snapToGrid w:val="0"/>
          <w:color w:val="000000"/>
          <w:spacing w:val="-17"/>
          <w:kern w:val="0"/>
          <w:sz w:val="32"/>
          <w:szCs w:val="32"/>
        </w:rPr>
        <w:t>202</w:t>
      </w:r>
      <w:r>
        <w:rPr>
          <w:rFonts w:hint="eastAsia" w:eastAsia="楷体_GB2312" w:cs="Times New Roman"/>
          <w:snapToGrid w:val="0"/>
          <w:color w:val="000000"/>
          <w:spacing w:val="-17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-17"/>
          <w:kern w:val="0"/>
          <w:sz w:val="32"/>
          <w:szCs w:val="32"/>
        </w:rPr>
        <w:t>年</w:t>
      </w:r>
      <w:r>
        <w:rPr>
          <w:rFonts w:hint="eastAsia" w:eastAsia="楷体_GB2312" w:cs="Times New Roman"/>
          <w:snapToGrid w:val="0"/>
          <w:color w:val="000000"/>
          <w:spacing w:val="-17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-17"/>
          <w:kern w:val="0"/>
          <w:sz w:val="32"/>
          <w:szCs w:val="32"/>
        </w:rPr>
        <w:t>月</w:t>
      </w:r>
      <w:r>
        <w:rPr>
          <w:rFonts w:hint="eastAsia" w:eastAsia="楷体_GB2312" w:cs="Times New Roman"/>
          <w:snapToGrid w:val="0"/>
          <w:color w:val="000000"/>
          <w:spacing w:val="-17"/>
          <w:kern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-17"/>
          <w:kern w:val="0"/>
          <w:sz w:val="32"/>
          <w:szCs w:val="32"/>
        </w:rPr>
        <w:t>日在顺河回族区第十</w:t>
      </w:r>
      <w:r>
        <w:rPr>
          <w:rFonts w:hint="eastAsia" w:eastAsia="楷体_GB2312" w:cs="Times New Roman"/>
          <w:snapToGrid w:val="0"/>
          <w:color w:val="000000"/>
          <w:spacing w:val="-17"/>
          <w:kern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-17"/>
          <w:kern w:val="0"/>
          <w:sz w:val="32"/>
          <w:szCs w:val="32"/>
        </w:rPr>
        <w:t>届人民代表大会第</w:t>
      </w:r>
      <w:r>
        <w:rPr>
          <w:rFonts w:hint="eastAsia" w:eastAsia="楷体_GB2312" w:cs="Times New Roman"/>
          <w:snapToGrid w:val="0"/>
          <w:color w:val="000000"/>
          <w:spacing w:val="-17"/>
          <w:kern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-17"/>
          <w:kern w:val="0"/>
          <w:sz w:val="32"/>
          <w:szCs w:val="32"/>
        </w:rPr>
        <w:t>次会议上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ascii="Times New Roman" w:hAnsi="Times New Roman" w:eastAsia="楷体_GB2312" w:cs="Times New Roman"/>
          <w:color w:val="000000"/>
          <w:sz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 xml:space="preserve">顺河回族区财政局局长  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 xml:space="preserve"> 王  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textAlignment w:val="auto"/>
        <w:rPr>
          <w:rFonts w:ascii="Times" w:hAnsi="Times" w:eastAsia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我受区人民政府委托，向区人大常委会报告202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年全区财政</w:t>
      </w:r>
      <w:r>
        <w:rPr>
          <w:rFonts w:hint="eastAsia" w:eastAsia="仿宋_GB2312"/>
          <w:sz w:val="32"/>
          <w:szCs w:val="32"/>
        </w:rPr>
        <w:t>执行情况</w:t>
      </w:r>
      <w:r>
        <w:rPr>
          <w:rFonts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年预算</w:t>
      </w:r>
      <w:r>
        <w:rPr>
          <w:rFonts w:hint="eastAsia" w:eastAsia="仿宋_GB2312"/>
          <w:sz w:val="32"/>
          <w:szCs w:val="32"/>
        </w:rPr>
        <w:t>草案</w:t>
      </w:r>
      <w:r>
        <w:rPr>
          <w:rFonts w:eastAsia="仿宋_GB2312"/>
          <w:bCs/>
          <w:color w:val="000000"/>
          <w:sz w:val="32"/>
          <w:szCs w:val="32"/>
        </w:rPr>
        <w:t>提请区十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七</w:t>
      </w:r>
      <w:r>
        <w:rPr>
          <w:rFonts w:eastAsia="仿宋_GB2312"/>
          <w:bCs/>
          <w:color w:val="000000"/>
          <w:sz w:val="32"/>
          <w:szCs w:val="32"/>
        </w:rPr>
        <w:t>届人大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五</w:t>
      </w:r>
      <w:r>
        <w:rPr>
          <w:rFonts w:eastAsia="仿宋_GB2312"/>
          <w:bCs/>
          <w:color w:val="000000"/>
          <w:sz w:val="32"/>
          <w:szCs w:val="32"/>
        </w:rPr>
        <w:t>次会议</w:t>
      </w:r>
      <w:r>
        <w:rPr>
          <w:rFonts w:hint="eastAsia" w:eastAsia="仿宋_GB2312"/>
          <w:bCs/>
          <w:color w:val="000000"/>
          <w:sz w:val="32"/>
          <w:szCs w:val="32"/>
        </w:rPr>
        <w:t>审议</w:t>
      </w:r>
      <w:r>
        <w:rPr>
          <w:rFonts w:eastAsia="仿宋_GB2312"/>
          <w:bCs/>
          <w:color w:val="000000"/>
          <w:sz w:val="32"/>
          <w:szCs w:val="32"/>
        </w:rPr>
        <w:t>，并请各位政协委员和其他列席人员提出意见。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一</w:t>
      </w:r>
      <w:r>
        <w:rPr>
          <w:rFonts w:eastAsia="黑体"/>
          <w:bCs/>
          <w:color w:val="000000"/>
          <w:sz w:val="32"/>
          <w:szCs w:val="32"/>
        </w:rPr>
        <w:t>、202</w:t>
      </w:r>
      <w:r>
        <w:rPr>
          <w:rFonts w:hint="eastAsia" w:eastAsia="黑体"/>
          <w:bCs/>
          <w:color w:val="000000"/>
          <w:sz w:val="32"/>
          <w:szCs w:val="32"/>
          <w:lang w:val="en-US" w:eastAsia="zh-CN"/>
        </w:rPr>
        <w:t>3</w:t>
      </w:r>
      <w:r>
        <w:rPr>
          <w:rFonts w:eastAsia="黑体"/>
          <w:bCs/>
          <w:color w:val="000000"/>
          <w:sz w:val="32"/>
          <w:szCs w:val="32"/>
        </w:rPr>
        <w:t>年全区公共财政预算执行情况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2023年是全面贯彻落实党的二十大精神的开局之年，也是疫情防控转段的第一年。一年来，</w:t>
      </w:r>
      <w:r>
        <w:rPr>
          <w:rFonts w:hint="eastAsia" w:eastAsia="仿宋_GB2312"/>
          <w:sz w:val="32"/>
          <w:szCs w:val="32"/>
          <w:lang w:val="en-US" w:eastAsia="zh-CN"/>
        </w:rPr>
        <w:t>我们</w:t>
      </w:r>
      <w:r>
        <w:rPr>
          <w:rFonts w:hint="eastAsia" w:eastAsia="仿宋_GB2312"/>
          <w:sz w:val="32"/>
          <w:szCs w:val="32"/>
        </w:rPr>
        <w:t>在区委的</w:t>
      </w:r>
      <w:r>
        <w:rPr>
          <w:rFonts w:hint="eastAsia" w:eastAsia="仿宋_GB2312"/>
          <w:sz w:val="32"/>
          <w:szCs w:val="32"/>
          <w:lang w:val="en-US" w:eastAsia="zh-CN"/>
        </w:rPr>
        <w:t>正确</w:t>
      </w:r>
      <w:r>
        <w:rPr>
          <w:rFonts w:hint="eastAsia" w:eastAsia="仿宋_GB2312"/>
          <w:sz w:val="32"/>
          <w:szCs w:val="32"/>
        </w:rPr>
        <w:t>领导和区人大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区政协</w:t>
      </w:r>
      <w:r>
        <w:rPr>
          <w:rFonts w:hint="eastAsia" w:eastAsia="仿宋_GB2312"/>
          <w:sz w:val="32"/>
          <w:szCs w:val="32"/>
        </w:rPr>
        <w:t>的监督</w:t>
      </w:r>
      <w:r>
        <w:rPr>
          <w:rFonts w:hint="eastAsia" w:eastAsia="仿宋_GB2312"/>
          <w:sz w:val="32"/>
          <w:szCs w:val="32"/>
          <w:lang w:val="en-US" w:eastAsia="zh-CN"/>
        </w:rPr>
        <w:t>指导</w:t>
      </w:r>
      <w:r>
        <w:rPr>
          <w:rFonts w:hint="eastAsia" w:eastAsia="仿宋_GB2312"/>
          <w:sz w:val="32"/>
          <w:szCs w:val="32"/>
        </w:rPr>
        <w:t>下，</w:t>
      </w:r>
      <w:r>
        <w:rPr>
          <w:rFonts w:hint="eastAsia" w:eastAsia="仿宋_GB2312"/>
          <w:sz w:val="32"/>
          <w:szCs w:val="32"/>
          <w:lang w:val="en-US" w:eastAsia="zh-CN"/>
        </w:rPr>
        <w:t>坚持</w:t>
      </w:r>
      <w:r>
        <w:rPr>
          <w:rFonts w:hint="eastAsia" w:eastAsia="仿宋_GB2312"/>
          <w:sz w:val="32"/>
          <w:szCs w:val="32"/>
        </w:rPr>
        <w:t>以习近平新时代中国特色社会主义思想为指导，</w:t>
      </w:r>
      <w:r>
        <w:rPr>
          <w:rFonts w:hint="eastAsia" w:eastAsia="仿宋_GB2312"/>
          <w:sz w:val="32"/>
          <w:szCs w:val="32"/>
          <w:lang w:val="en-US" w:eastAsia="zh-CN"/>
        </w:rPr>
        <w:t>全面贯彻党的二十大精神，认真落实积极的财政政策，围绕中心，服务大局，强化预算执行管理，积极防范化解政府债务风险，集中财力保障重点支出，实现了全区财政运行总体平稳。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2" w:firstLineChars="200"/>
        <w:textAlignment w:val="auto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（一）全区财政预算执行情况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580" w:lineRule="exact"/>
        <w:ind w:firstLine="642" w:firstLineChars="200"/>
        <w:textAlignment w:val="auto"/>
        <w:rPr>
          <w:rFonts w:eastAsia="仿宋_GB2312"/>
          <w:bCs/>
          <w:color w:val="000000"/>
          <w:sz w:val="32"/>
          <w:szCs w:val="32"/>
          <w:highlight w:val="red"/>
        </w:rPr>
      </w:pPr>
      <w:r>
        <w:rPr>
          <w:rFonts w:hint="eastAsia" w:eastAsia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一般公共预算执行情况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——年初区人代会批准的一般公共预算收入为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31945</w:t>
      </w:r>
      <w:r>
        <w:rPr>
          <w:rFonts w:eastAsia="仿宋_GB2312"/>
          <w:color w:val="000000"/>
          <w:sz w:val="32"/>
          <w:szCs w:val="32"/>
        </w:rPr>
        <w:t>万元，经区人大批准收入调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减3827</w:t>
      </w:r>
      <w:r>
        <w:rPr>
          <w:rFonts w:eastAsia="仿宋_GB2312"/>
          <w:color w:val="000000"/>
          <w:sz w:val="32"/>
          <w:szCs w:val="32"/>
        </w:rPr>
        <w:t>万元，一般公共预算收入调整为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28118</w:t>
      </w:r>
      <w:r>
        <w:rPr>
          <w:rFonts w:eastAsia="仿宋_GB2312"/>
          <w:color w:val="000000"/>
          <w:sz w:val="32"/>
          <w:szCs w:val="32"/>
        </w:rPr>
        <w:t>万元，全年实际完成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28170</w:t>
      </w:r>
      <w:r>
        <w:rPr>
          <w:rFonts w:eastAsia="仿宋_GB2312"/>
          <w:color w:val="000000"/>
          <w:sz w:val="32"/>
          <w:szCs w:val="32"/>
        </w:rPr>
        <w:t>万元，完成调整预算的</w:t>
      </w:r>
      <w:r>
        <w:rPr>
          <w:rFonts w:hint="eastAsia" w:eastAsia="仿宋_GB2312"/>
          <w:color w:val="000000"/>
          <w:sz w:val="32"/>
          <w:szCs w:val="32"/>
        </w:rPr>
        <w:t>100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.18</w:t>
      </w:r>
      <w:r>
        <w:rPr>
          <w:rFonts w:eastAsia="仿宋_GB2312"/>
          <w:color w:val="000000"/>
          <w:sz w:val="32"/>
          <w:szCs w:val="32"/>
        </w:rPr>
        <w:t>%。税收收入完成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23631</w:t>
      </w:r>
      <w:r>
        <w:rPr>
          <w:rFonts w:eastAsia="仿宋_GB2312"/>
          <w:color w:val="000000"/>
          <w:sz w:val="32"/>
          <w:szCs w:val="32"/>
        </w:rPr>
        <w:t>万元，税收比重为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83.89</w:t>
      </w:r>
      <w:r>
        <w:rPr>
          <w:rFonts w:eastAsia="仿宋_GB2312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——年初区人代会批准的一般公共预算支出为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92369</w:t>
      </w:r>
      <w:r>
        <w:rPr>
          <w:rFonts w:eastAsia="仿宋_GB2312"/>
          <w:color w:val="000000"/>
          <w:sz w:val="32"/>
          <w:szCs w:val="32"/>
        </w:rPr>
        <w:t>万元，执行中因上级补助、新增上解等增减因素，支出预算调整为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114926</w:t>
      </w:r>
      <w:r>
        <w:rPr>
          <w:rFonts w:eastAsia="仿宋_GB2312"/>
          <w:color w:val="000000"/>
          <w:sz w:val="32"/>
          <w:szCs w:val="32"/>
        </w:rPr>
        <w:t>万元，调增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22557</w:t>
      </w:r>
      <w:r>
        <w:rPr>
          <w:rFonts w:eastAsia="仿宋_GB2312"/>
          <w:color w:val="000000"/>
          <w:sz w:val="32"/>
          <w:szCs w:val="32"/>
        </w:rPr>
        <w:t>万元，实际一般公共预算支出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90444</w:t>
      </w:r>
      <w:r>
        <w:rPr>
          <w:rFonts w:eastAsia="仿宋_GB2312"/>
          <w:color w:val="000000"/>
          <w:sz w:val="32"/>
          <w:szCs w:val="32"/>
        </w:rPr>
        <w:t>万元，比上年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增加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12254</w:t>
      </w:r>
      <w:r>
        <w:rPr>
          <w:rFonts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auto"/>
          <w:sz w:val="32"/>
          <w:szCs w:val="32"/>
        </w:rPr>
        <w:t>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增</w:t>
      </w:r>
      <w:r>
        <w:rPr>
          <w:rFonts w:hint="eastAsia" w:eastAsia="仿宋_GB2312"/>
          <w:color w:val="auto"/>
          <w:sz w:val="32"/>
          <w:szCs w:val="32"/>
        </w:rPr>
        <w:t>幅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15.67</w:t>
      </w:r>
      <w:r>
        <w:rPr>
          <w:rFonts w:eastAsia="仿宋_GB2312"/>
          <w:color w:val="auto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——全区一般公共预算收支平衡情况。全年全区总收入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133552</w:t>
      </w:r>
      <w:r>
        <w:rPr>
          <w:rFonts w:eastAsia="仿宋_GB2312"/>
          <w:color w:val="000000"/>
          <w:sz w:val="32"/>
          <w:szCs w:val="32"/>
        </w:rPr>
        <w:t>万元，其中：一般公共预算收入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28170</w:t>
      </w:r>
      <w:r>
        <w:rPr>
          <w:rFonts w:eastAsia="仿宋_GB2312"/>
          <w:color w:val="000000"/>
          <w:sz w:val="32"/>
          <w:szCs w:val="32"/>
        </w:rPr>
        <w:t>万元，上级补助收入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78588</w:t>
      </w:r>
      <w:r>
        <w:rPr>
          <w:rFonts w:eastAsia="仿宋_GB2312"/>
          <w:color w:val="000000"/>
          <w:sz w:val="32"/>
          <w:szCs w:val="32"/>
        </w:rPr>
        <w:t>万元，上年结余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24759</w:t>
      </w:r>
      <w:r>
        <w:rPr>
          <w:rFonts w:eastAsia="仿宋_GB2312"/>
          <w:color w:val="000000"/>
          <w:sz w:val="32"/>
          <w:szCs w:val="32"/>
        </w:rPr>
        <w:t>万元，地方政府一般债券转贷收入</w:t>
      </w:r>
      <w:r>
        <w:rPr>
          <w:rFonts w:hint="eastAsia" w:eastAsia="仿宋_GB2312"/>
          <w:color w:val="000000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503</w:t>
      </w:r>
      <w:r>
        <w:rPr>
          <w:rFonts w:eastAsia="仿宋_GB2312"/>
          <w:color w:val="000000"/>
          <w:sz w:val="32"/>
          <w:szCs w:val="32"/>
        </w:rPr>
        <w:t>万元，调入资金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532</w:t>
      </w:r>
      <w:r>
        <w:rPr>
          <w:rFonts w:eastAsia="仿宋_GB2312"/>
          <w:color w:val="000000"/>
          <w:sz w:val="32"/>
          <w:szCs w:val="32"/>
        </w:rPr>
        <w:t>万元；全年全区一般公共预算支出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90444</w:t>
      </w:r>
      <w:r>
        <w:rPr>
          <w:rFonts w:eastAsia="仿宋_GB2312"/>
          <w:color w:val="000000"/>
          <w:sz w:val="32"/>
          <w:szCs w:val="32"/>
        </w:rPr>
        <w:t>万元，上解上级支出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16109</w:t>
      </w:r>
      <w:r>
        <w:rPr>
          <w:rFonts w:eastAsia="仿宋_GB2312"/>
          <w:color w:val="000000"/>
          <w:sz w:val="32"/>
          <w:szCs w:val="32"/>
        </w:rPr>
        <w:t>万元，债务还本支出</w:t>
      </w:r>
      <w:r>
        <w:rPr>
          <w:rFonts w:hint="eastAsia" w:eastAsia="仿宋_GB2312"/>
          <w:color w:val="000000"/>
          <w:sz w:val="32"/>
          <w:szCs w:val="32"/>
        </w:rPr>
        <w:t>12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46</w:t>
      </w:r>
      <w:r>
        <w:rPr>
          <w:rFonts w:eastAsia="仿宋_GB2312"/>
          <w:color w:val="000000"/>
          <w:sz w:val="32"/>
          <w:szCs w:val="32"/>
        </w:rPr>
        <w:t>万元，调出资金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1287</w:t>
      </w:r>
      <w:r>
        <w:rPr>
          <w:rFonts w:eastAsia="仿宋_GB2312"/>
          <w:color w:val="000000"/>
          <w:sz w:val="32"/>
          <w:szCs w:val="32"/>
        </w:rPr>
        <w:t>万元，结余</w:t>
      </w:r>
      <w:r>
        <w:rPr>
          <w:rFonts w:hint="eastAsia" w:eastAsia="仿宋_GB2312"/>
          <w:color w:val="000000"/>
          <w:sz w:val="32"/>
          <w:szCs w:val="32"/>
        </w:rPr>
        <w:t>24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466</w:t>
      </w:r>
      <w:r>
        <w:rPr>
          <w:rFonts w:eastAsia="仿宋_GB2312"/>
          <w:color w:val="000000"/>
          <w:sz w:val="32"/>
          <w:szCs w:val="32"/>
        </w:rPr>
        <w:t>万元，结转下年使用，净结余为零，收支平衡。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580" w:lineRule="exact"/>
        <w:ind w:firstLine="642" w:firstLineChars="200"/>
        <w:textAlignment w:val="auto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2、政府性基金预算执行情况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——202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年，全区上级补助收入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23756</w:t>
      </w:r>
      <w:r>
        <w:rPr>
          <w:rFonts w:eastAsia="仿宋_GB2312"/>
          <w:color w:val="000000"/>
          <w:sz w:val="32"/>
          <w:szCs w:val="32"/>
        </w:rPr>
        <w:t>万元，上年结余</w:t>
      </w:r>
      <w:r>
        <w:rPr>
          <w:rFonts w:hint="eastAsia" w:eastAsia="仿宋_GB2312"/>
          <w:color w:val="000000"/>
          <w:sz w:val="32"/>
          <w:szCs w:val="32"/>
        </w:rPr>
        <w:t>6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820</w:t>
      </w:r>
      <w:r>
        <w:rPr>
          <w:rFonts w:eastAsia="仿宋_GB2312"/>
          <w:color w:val="000000"/>
          <w:sz w:val="32"/>
          <w:szCs w:val="32"/>
        </w:rPr>
        <w:t>万元，调入资金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1287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专项债务</w:t>
      </w:r>
      <w:r>
        <w:rPr>
          <w:rFonts w:eastAsia="仿宋_GB2312"/>
          <w:color w:val="000000"/>
          <w:sz w:val="32"/>
          <w:szCs w:val="32"/>
        </w:rPr>
        <w:t>收入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64800</w:t>
      </w:r>
      <w:r>
        <w:rPr>
          <w:rFonts w:hint="eastAsia" w:eastAsia="仿宋_GB2312"/>
          <w:color w:val="000000"/>
          <w:sz w:val="32"/>
          <w:szCs w:val="32"/>
        </w:rPr>
        <w:t>万元，</w:t>
      </w:r>
      <w:r>
        <w:rPr>
          <w:rFonts w:eastAsia="仿宋_GB2312"/>
          <w:color w:val="000000"/>
          <w:sz w:val="32"/>
          <w:szCs w:val="32"/>
        </w:rPr>
        <w:t>政府性基金总收入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96663</w:t>
      </w:r>
      <w:r>
        <w:rPr>
          <w:rFonts w:eastAsia="仿宋_GB2312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——202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年，全区政府性基金预算年初安排支出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71819</w:t>
      </w:r>
      <w:r>
        <w:rPr>
          <w:rFonts w:eastAsia="仿宋_GB2312"/>
          <w:color w:val="000000"/>
          <w:sz w:val="32"/>
          <w:szCs w:val="32"/>
        </w:rPr>
        <w:t>万元，执行中因上级补助等因素，全年政府性基金支出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80533</w:t>
      </w:r>
      <w:r>
        <w:rPr>
          <w:rFonts w:eastAsia="仿宋_GB2312"/>
          <w:color w:val="000000"/>
          <w:sz w:val="32"/>
          <w:szCs w:val="32"/>
        </w:rPr>
        <w:t>万元，上解支出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54</w:t>
      </w:r>
      <w:r>
        <w:rPr>
          <w:rFonts w:eastAsia="仿宋_GB2312"/>
          <w:color w:val="000000"/>
          <w:sz w:val="32"/>
          <w:szCs w:val="32"/>
        </w:rPr>
        <w:t>万元，政府性基金年末结余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16076</w:t>
      </w:r>
      <w:r>
        <w:rPr>
          <w:rFonts w:eastAsia="仿宋_GB2312"/>
          <w:color w:val="000000"/>
          <w:sz w:val="32"/>
          <w:szCs w:val="32"/>
        </w:rPr>
        <w:t>万元，结转下年使用。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2" w:firstLineChars="200"/>
        <w:textAlignment w:val="auto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3、国有资本经营预算执行情况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年国有资本经营预算</w:t>
      </w:r>
      <w:r>
        <w:rPr>
          <w:rFonts w:hint="eastAsia" w:eastAsia="仿宋_GB2312"/>
          <w:color w:val="000000"/>
          <w:sz w:val="32"/>
          <w:szCs w:val="32"/>
        </w:rPr>
        <w:t>年初预算安排5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43</w:t>
      </w:r>
      <w:r>
        <w:rPr>
          <w:rFonts w:hint="eastAsia" w:eastAsia="仿宋_GB2312"/>
          <w:color w:val="000000"/>
          <w:sz w:val="32"/>
          <w:szCs w:val="32"/>
        </w:rPr>
        <w:t>万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</w:rPr>
        <w:t>新增</w:t>
      </w:r>
      <w:r>
        <w:rPr>
          <w:rFonts w:eastAsia="仿宋_GB2312"/>
          <w:color w:val="000000"/>
          <w:sz w:val="32"/>
          <w:szCs w:val="32"/>
        </w:rPr>
        <w:t>上级补助收入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221</w:t>
      </w:r>
      <w:r>
        <w:rPr>
          <w:rFonts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），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hint="eastAsia" w:eastAsia="仿宋_GB2312"/>
          <w:color w:val="000000"/>
          <w:sz w:val="32"/>
          <w:szCs w:val="32"/>
        </w:rPr>
        <w:t>调入一般公共预算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532</w:t>
      </w:r>
      <w:r>
        <w:rPr>
          <w:rFonts w:hint="eastAsia" w:eastAsia="仿宋_GB2312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2" w:firstLineChars="200"/>
        <w:textAlignment w:val="auto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4、政府债务执行情况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年底，我区政府性债务余额为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98022</w:t>
      </w:r>
      <w:r>
        <w:rPr>
          <w:rFonts w:eastAsia="仿宋_GB2312"/>
          <w:color w:val="000000"/>
          <w:sz w:val="32"/>
          <w:szCs w:val="32"/>
        </w:rPr>
        <w:t>万元，全部为政府债券（其中：地方政府一般债务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14982</w:t>
      </w:r>
      <w:r>
        <w:rPr>
          <w:rFonts w:eastAsia="仿宋_GB2312"/>
          <w:color w:val="000000"/>
          <w:sz w:val="32"/>
          <w:szCs w:val="32"/>
        </w:rPr>
        <w:t>万元，专项债务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83040</w:t>
      </w:r>
      <w:r>
        <w:rPr>
          <w:rFonts w:eastAsia="仿宋_GB2312"/>
          <w:color w:val="000000"/>
          <w:sz w:val="32"/>
          <w:szCs w:val="32"/>
        </w:rPr>
        <w:t>万元）。</w:t>
      </w:r>
      <w:r>
        <w:rPr>
          <w:rFonts w:hint="eastAsia" w:eastAsia="仿宋_GB2312"/>
          <w:color w:val="000000"/>
          <w:sz w:val="32"/>
          <w:szCs w:val="32"/>
        </w:rPr>
        <w:t>为缓解地方政府偿债压力，维护政府信誉，加大建设资金投入力度，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今年共争取债券资金66303万元，其中：1、债劵转贷资金1503万元。2、专项债资金64800万元，全部纳入一般公共预算管理。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2" w:firstLineChars="200"/>
        <w:textAlignment w:val="auto"/>
        <w:rPr>
          <w:rFonts w:eastAsia="楷体_GB2312"/>
          <w:b/>
          <w:color w:val="000000"/>
          <w:sz w:val="32"/>
          <w:szCs w:val="32"/>
          <w:highlight w:val="none"/>
        </w:rPr>
      </w:pPr>
      <w:r>
        <w:rPr>
          <w:rFonts w:eastAsia="楷体_GB2312"/>
          <w:b/>
          <w:color w:val="000000"/>
          <w:sz w:val="32"/>
          <w:szCs w:val="32"/>
          <w:highlight w:val="none"/>
        </w:rPr>
        <w:t>（</w:t>
      </w:r>
      <w:r>
        <w:rPr>
          <w:rFonts w:hint="eastAsia" w:eastAsia="楷体_GB2312"/>
          <w:b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eastAsia="楷体_GB2312"/>
          <w:b/>
          <w:color w:val="000000"/>
          <w:sz w:val="32"/>
          <w:szCs w:val="32"/>
          <w:highlight w:val="none"/>
        </w:rPr>
        <w:t>）主要工作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textAlignment w:val="auto"/>
        <w:rPr>
          <w:rFonts w:hint="default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eastAsia="仿宋_GB2312"/>
          <w:b/>
          <w:bCs/>
          <w:color w:val="000000"/>
          <w:sz w:val="32"/>
          <w:szCs w:val="32"/>
        </w:rPr>
        <w:t>1、</w:t>
      </w: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加力促经济，推动财政运行稳中有进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8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一是在组织收入上提质增效。持续加强重点税源和重点税种监控，在积极涵养税源的同时，不断完善与税务部门的沟通协调，加强收入运行分析，加大财政收入组织力度，实施依法征收、科学征收。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二是</w:t>
      </w:r>
      <w:r>
        <w:rPr>
          <w:rFonts w:hint="eastAsia" w:eastAsia="仿宋_GB2312"/>
          <w:color w:val="000000"/>
          <w:sz w:val="32"/>
          <w:szCs w:val="32"/>
        </w:rPr>
        <w:t>在减税降费上精准发力。严格落实减税降费政策，坚持减税与退税并举，实施更大力度组合式税费支持政策，加大对中小微企业、先进制造业等重点领域的支持力度。全年累计新增减税降费总额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7365</w:t>
      </w:r>
      <w:r>
        <w:rPr>
          <w:rFonts w:hint="eastAsia" w:eastAsia="仿宋_GB2312"/>
          <w:color w:val="000000"/>
          <w:sz w:val="32"/>
          <w:szCs w:val="32"/>
        </w:rPr>
        <w:t>万元，以精准高效政策资金帮扶，切实助企纾困，激发市场活力。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三是在向上争取上积极作为。争取专项债券资金支持，全年成功发行新增债券资金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66303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万元，用于全区基础设施建设。争取转移支付资金支持，2023年上级补助收入和转移支付资金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78588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万元，有效缓解本级财政压力，为全区稳增长、保民生提供稳定支撑。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80" w:lineRule="exact"/>
        <w:ind w:firstLine="642" w:firstLineChars="200"/>
        <w:textAlignment w:val="auto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2、致力谋发展</w:t>
      </w:r>
      <w:r>
        <w:rPr>
          <w:rFonts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支持</w:t>
      </w:r>
      <w:r>
        <w:rPr>
          <w:rFonts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重大战略精准实施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8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一是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全</w:t>
      </w:r>
      <w:r>
        <w:rPr>
          <w:rFonts w:hint="eastAsia" w:eastAsia="仿宋_GB2312"/>
          <w:color w:val="000000"/>
          <w:sz w:val="32"/>
          <w:szCs w:val="32"/>
        </w:rPr>
        <w:t>力支持科技创新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持续</w:t>
      </w:r>
      <w:r>
        <w:rPr>
          <w:rFonts w:hint="eastAsia" w:eastAsia="仿宋_GB2312"/>
          <w:color w:val="000000"/>
          <w:sz w:val="32"/>
          <w:szCs w:val="32"/>
        </w:rPr>
        <w:t>优化完善财政科技政策，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2023年</w:t>
      </w:r>
      <w:r>
        <w:rPr>
          <w:rFonts w:hint="eastAsia" w:eastAsia="仿宋_GB2312"/>
          <w:color w:val="000000"/>
          <w:sz w:val="32"/>
          <w:szCs w:val="32"/>
        </w:rPr>
        <w:t>科技支出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3767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eastAsia="仿宋_GB2312"/>
          <w:color w:val="000000"/>
          <w:sz w:val="32"/>
          <w:szCs w:val="32"/>
        </w:rPr>
        <w:t>切实推动打造科创高地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拨付资金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480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万元支持企业科技研发，聚焦顺河区产业发展重点领域，鼓励引导企业建设国家级、省级、市级企业工程技术中心，支持滚动实施一批关键核心技术“攻尖”项目。二是高水平推进农业农村建设。认真落实各项对种粮农民补贴政策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2023年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拨付耕地补贴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46</w:t>
      </w:r>
      <w:r>
        <w:rPr>
          <w:rFonts w:hint="eastAsia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万元，种粮补贴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50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，持续调动农民种粮积极性，保障粮食安全；拨付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农机购置补贴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万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元，有效提高农业机械化水平；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安排资金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66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万元支持改善农村人居环境；安排资金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2996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万元支持高标准农田建设，不断提高农田综合生产能力。三是深入打好污染防治攻坚战。持续在水、土壤污染防治方面精准发力、全力保障。投入4674万元用于汴东先进制造业开发区污水处理厂及配套管网建设项目。四是持续支持新型城镇化建设。统筹资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12297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万元用于保障性安居住房及老旧小区改造，升级改造老旧小区40个，城市面貌焕然一新。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80" w:lineRule="exact"/>
        <w:ind w:firstLine="642" w:firstLineChars="200"/>
        <w:textAlignment w:val="auto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3、</w:t>
      </w:r>
      <w:r>
        <w:rPr>
          <w:rFonts w:hint="eastAsia" w:eastAsia="仿宋_GB2312"/>
          <w:b/>
          <w:bCs/>
          <w:color w:val="000000"/>
          <w:sz w:val="32"/>
          <w:szCs w:val="32"/>
        </w:rPr>
        <w:t>切实增福祉，民生底色持续擦亮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8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坚持尽力而为、量力而行，突出保基本、兜底线，统筹更多财力支持民生事业发展，努力解决好人民群众的急难愁盼问题，全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区</w:t>
      </w:r>
      <w:r>
        <w:rPr>
          <w:rFonts w:hint="eastAsia" w:eastAsia="仿宋_GB2312"/>
          <w:color w:val="000000"/>
          <w:sz w:val="32"/>
          <w:szCs w:val="32"/>
        </w:rPr>
        <w:t>民生支出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64595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万</w:t>
      </w:r>
      <w:r>
        <w:rPr>
          <w:rFonts w:hint="eastAsia" w:eastAsia="仿宋_GB2312"/>
          <w:color w:val="000000"/>
          <w:sz w:val="32"/>
          <w:szCs w:val="32"/>
        </w:rPr>
        <w:t>元，占一般公共预算支出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71.42</w:t>
      </w:r>
      <w:r>
        <w:rPr>
          <w:rFonts w:hint="eastAsia" w:eastAsia="仿宋_GB2312"/>
          <w:color w:val="000000"/>
          <w:sz w:val="32"/>
          <w:szCs w:val="32"/>
        </w:rPr>
        <w:t>%。</w:t>
      </w:r>
      <w:r>
        <w:rPr>
          <w:rFonts w:eastAsia="仿宋_GB2312"/>
          <w:color w:val="000000"/>
          <w:sz w:val="32"/>
          <w:szCs w:val="32"/>
        </w:rPr>
        <w:t>一是</w:t>
      </w:r>
      <w:r>
        <w:rPr>
          <w:rFonts w:hint="eastAsia" w:eastAsia="仿宋_GB2312"/>
          <w:color w:val="000000"/>
          <w:sz w:val="32"/>
          <w:szCs w:val="32"/>
        </w:rPr>
        <w:t>优先保障教育经费投入。坚持教育优先发展，落实财政教育投入两个“只增不减”，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全区教育支出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14654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万元。</w:t>
      </w:r>
      <w:r>
        <w:rPr>
          <w:rFonts w:hint="eastAsia" w:eastAsia="仿宋_GB2312"/>
          <w:color w:val="000000"/>
          <w:sz w:val="32"/>
          <w:szCs w:val="32"/>
        </w:rPr>
        <w:t>下达义务教育生均经费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1282</w:t>
      </w:r>
      <w:r>
        <w:rPr>
          <w:rFonts w:hint="eastAsia" w:eastAsia="仿宋_GB2312"/>
          <w:color w:val="000000"/>
          <w:sz w:val="32"/>
          <w:szCs w:val="32"/>
        </w:rPr>
        <w:t>万元，保障学校运转；下达家庭经济困难学生生活补助惠民资金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eastAsia="仿宋_GB2312"/>
          <w:color w:val="000000"/>
          <w:sz w:val="32"/>
          <w:szCs w:val="32"/>
        </w:rPr>
        <w:t>万元，将助学扶贫切实落到实处。二是加强社会保障体系建设。全年发放高龄津贴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618</w:t>
      </w:r>
      <w:r>
        <w:rPr>
          <w:rFonts w:hint="eastAsia" w:eastAsia="仿宋_GB2312"/>
          <w:color w:val="000000"/>
          <w:sz w:val="32"/>
          <w:szCs w:val="32"/>
        </w:rPr>
        <w:t>万元，发放退役士兵安置经费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178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</w:rPr>
        <w:t>发放困难群众救助资金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513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</w:rPr>
        <w:t>拨付残疾人护理和生活困难补助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224</w:t>
      </w:r>
      <w:r>
        <w:rPr>
          <w:rFonts w:hint="eastAsia" w:eastAsia="仿宋_GB2312"/>
          <w:color w:val="000000"/>
          <w:sz w:val="32"/>
          <w:szCs w:val="32"/>
        </w:rPr>
        <w:t>万元，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持续</w:t>
      </w:r>
      <w:r>
        <w:rPr>
          <w:rFonts w:hint="eastAsia" w:eastAsia="仿宋_GB2312"/>
          <w:color w:val="000000"/>
          <w:sz w:val="32"/>
          <w:szCs w:val="32"/>
        </w:rPr>
        <w:t>推动惠民政策落实落地。三是提高医疗卫生服务水平。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全年</w:t>
      </w:r>
      <w:r>
        <w:rPr>
          <w:rFonts w:hint="eastAsia" w:eastAsia="仿宋_GB2312"/>
          <w:color w:val="000000"/>
          <w:sz w:val="32"/>
          <w:szCs w:val="32"/>
        </w:rPr>
        <w:t>卫生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健康</w:t>
      </w:r>
      <w:r>
        <w:rPr>
          <w:rFonts w:hint="eastAsia" w:eastAsia="仿宋_GB2312"/>
          <w:color w:val="000000"/>
          <w:sz w:val="32"/>
          <w:szCs w:val="32"/>
        </w:rPr>
        <w:t>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9259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</w:rPr>
        <w:t>投入基层医疗卫生机构支出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80" w:lineRule="exact"/>
        <w:ind w:firstLine="642" w:firstLineChars="200"/>
        <w:textAlignment w:val="auto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4、</w:t>
      </w:r>
      <w:r>
        <w:rPr>
          <w:rFonts w:hint="eastAsia" w:eastAsia="仿宋_GB2312"/>
          <w:b/>
          <w:bCs/>
          <w:color w:val="000000"/>
          <w:sz w:val="32"/>
          <w:szCs w:val="32"/>
        </w:rPr>
        <w:t>着眼增活力，财政治理水平持续提升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一是牢固树立党政机关“过紧日子”思想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预算执行做到有保有压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全面清理非急需、非刚性支出，能减则减、能压则压、能停则停、精打细算，把钱用在刀刃上，确保经济发展和社会稳定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“三公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”经费支出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79.97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万元，与去年同比减少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16.75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万元，同比下降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17.32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二是深化预算绩效管理。坚持将绩效理念和方法融入预算编制、执行和监督的全过程，运用预算管理一体化系统，实行全流程信息化管理，落实绩效目标实现程度和预算执行进度“双监控”，实现部门绩效自评“线上”全覆盖。三是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续提升现代化财政管理水平。开展重点财会监督检查，财经纪律进一步严肃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“一卡通”管理由改革攻坚转向常态化管理，全年“一卡通”补贴共涉及43个发放项目，补贴累计发放25.29万人次，发放金额6365.76万元。政府采购和投资评审范围进一步扩大，政府采购预算资金全年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21412.96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万元，实际采购资金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20543.74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万元，节约资金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869.22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万元，节约率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4.06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%。预算评审项目81个，评审资金41227.53万元，节约资金2783.98万元，节支率6.75%。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四是强化国有资产和资本管理。优化国资布局和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结构调整，持续推动清廉国企创建工作，全面提升治理效能。区管国有企业资产总额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44亿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元，较年初增长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22.07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%，净资产总额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亿元，实现营业收入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3.5亿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元。全年共承担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个省市重点项目，年度总投资额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9.38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亿元，区管国有企业站位大局、服务发展的能力不断提升。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80" w:lineRule="exact"/>
        <w:ind w:firstLine="642" w:firstLineChars="200"/>
        <w:textAlignment w:val="auto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eastAsia="仿宋_GB2312"/>
          <w:b/>
          <w:bCs/>
          <w:color w:val="000000"/>
          <w:sz w:val="32"/>
          <w:szCs w:val="32"/>
        </w:rPr>
        <w:t>、</w:t>
      </w: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全</w:t>
      </w:r>
      <w:r>
        <w:rPr>
          <w:rFonts w:hint="eastAsia" w:eastAsia="仿宋_GB2312"/>
          <w:b/>
          <w:bCs/>
          <w:color w:val="000000"/>
          <w:sz w:val="32"/>
          <w:szCs w:val="32"/>
        </w:rPr>
        <w:t>力防风险，支持统筹好发展与安全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一是严防“三保”风险。始终把“三保”支出作为财政支出的优先选项和“铁律”，构建财政运行风险监测机制，利用预算管理一体化系统，对所有“三保”资金全流程动态监控，统筹各种财力资源，深度调整支出结构，确保“三保”支出优先保障。二是不断加强政府债务管理。建立健全防范化解地方政府债务风险工作机制，科学编制化债方案，开展地方政府债务风险防范化解工作。严格按照上级核定的限额举借政府债务，合理控制债务规模，牢牢守住不发生区域性风险的底线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各位代表，2023年财政工作取得的成绩，是区委正确领导的结果，是区人大、区政协监督指导和各位代表、委员关心支持的结果，是全区各部门齐心协力艰辛付出的结果。同时，我们清醒地认识到，我区现阶段财政形势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仍</w:t>
      </w:r>
      <w:r>
        <w:rPr>
          <w:rFonts w:hint="eastAsia" w:eastAsia="仿宋_GB2312"/>
          <w:color w:val="000000"/>
          <w:sz w:val="32"/>
          <w:szCs w:val="32"/>
        </w:rPr>
        <w:t>十分严峻，主要表现在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：</w:t>
      </w:r>
      <w:r>
        <w:rPr>
          <w:rFonts w:hint="eastAsia" w:eastAsia="仿宋_GB2312"/>
          <w:color w:val="000000"/>
          <w:sz w:val="32"/>
          <w:szCs w:val="32"/>
        </w:rPr>
        <w:t>一是财政减收增支矛盾突出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二是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“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三保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”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方面支出压力较大，</w:t>
      </w:r>
      <w:r>
        <w:rPr>
          <w:rFonts w:hint="eastAsia" w:eastAsia="仿宋_GB2312"/>
          <w:color w:val="000000"/>
          <w:sz w:val="32"/>
          <w:szCs w:val="32"/>
        </w:rPr>
        <w:t>未来三年化债任务依然较为艰巨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eastAsia="仿宋_GB2312"/>
          <w:color w:val="000000"/>
          <w:sz w:val="32"/>
          <w:szCs w:val="32"/>
        </w:rPr>
        <w:t>三是预算编制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还不够精细，预算硬约束力仍需进一步提高，全过程预算绩效管理质量有待提升</w:t>
      </w:r>
      <w:r>
        <w:rPr>
          <w:rFonts w:hint="eastAsia" w:eastAsia="仿宋_GB2312"/>
          <w:color w:val="000000"/>
          <w:sz w:val="32"/>
          <w:szCs w:val="32"/>
        </w:rPr>
        <w:t>。面对这些困难和挑战，我们将高度重视，积极采取有力措施切实加以解决，奋力推进财政工作持续高质量发展。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eastAsia="黑体"/>
          <w:color w:val="000000"/>
          <w:sz w:val="32"/>
          <w:szCs w:val="32"/>
          <w:highlight w:val="red"/>
        </w:rPr>
      </w:pPr>
      <w:r>
        <w:rPr>
          <w:rFonts w:eastAsia="黑体"/>
          <w:color w:val="000000"/>
          <w:sz w:val="32"/>
          <w:szCs w:val="32"/>
          <w:highlight w:val="none"/>
        </w:rPr>
        <w:t>二、202</w:t>
      </w: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eastAsia="黑体"/>
          <w:color w:val="000000"/>
          <w:sz w:val="32"/>
          <w:szCs w:val="32"/>
          <w:highlight w:val="none"/>
        </w:rPr>
        <w:t xml:space="preserve">年预算草案情况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2024年是中华人民共和国成立 75 周年，是实现“十四五”规划目标任务的关键一年。科学研判财政形势，合理编制财政预算，积极发挥财政职能作用，对于保持经济平稳运行、维护社会和谐稳定具有重要意义。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2024年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区</w:t>
      </w:r>
      <w:r>
        <w:rPr>
          <w:rFonts w:hint="eastAsia" w:eastAsia="仿宋_GB2312"/>
          <w:bCs/>
          <w:color w:val="000000"/>
          <w:sz w:val="32"/>
          <w:szCs w:val="32"/>
        </w:rPr>
        <w:t>级预算编制的指导思想是：</w:t>
      </w:r>
      <w:r>
        <w:rPr>
          <w:rFonts w:hint="eastAsia" w:eastAsia="仿宋_GB2312"/>
          <w:b/>
          <w:bCs w:val="0"/>
          <w:color w:val="000000"/>
          <w:sz w:val="32"/>
          <w:szCs w:val="32"/>
        </w:rPr>
        <w:t>以习近平新时代中国特色社会主义思想为指导，全面贯彻落实党的二十大和二十届二中全会精神，深入贯彻习近平总书记视察河南及开封时重要讲话重要指示，以各级经济工作会议精神和财政工作会议精神为指引，坚持稳中求进工作总基调，完整、准确、全面贯彻新发展理念，紧抓构建新发展格局战略机遇，着力推动高质量发展，锚定“两个确保”，持续实施“十大战略”、推进“十大建设”，坚持“16136”总体工作思路，坚持“紧日子保基本、调结构保战略”，适度加力、提质增效落实积极的财政政策，落实好结构性减税降费政策，坚持党政机关过紧日子，进一步优化支出结构，兜牢民生和基层“三保”底线，加强地方政府债务管理，严肃财经纪律，提高财政资金绩效和政策效果，持续推动经济实现质的有效提升和量的合理增长，增进民生福祉，保持社会稳定，为奋力谱写新时代更加出彩</w:t>
      </w:r>
      <w:r>
        <w:rPr>
          <w:rFonts w:hint="eastAsia" w:eastAsia="仿宋_GB2312"/>
          <w:b/>
          <w:bCs w:val="0"/>
          <w:color w:val="000000"/>
          <w:sz w:val="32"/>
          <w:szCs w:val="32"/>
          <w:lang w:val="en-US" w:eastAsia="zh-CN"/>
        </w:rPr>
        <w:t>顺河</w:t>
      </w:r>
      <w:r>
        <w:rPr>
          <w:rFonts w:hint="eastAsia" w:eastAsia="仿宋_GB2312"/>
          <w:b/>
          <w:bCs w:val="0"/>
          <w:color w:val="000000"/>
          <w:sz w:val="32"/>
          <w:szCs w:val="32"/>
        </w:rPr>
        <w:t>绚丽篇章提供有力支撑</w:t>
      </w:r>
      <w:r>
        <w:rPr>
          <w:rFonts w:hint="eastAsia" w:eastAsia="仿宋_GB2312"/>
          <w:b/>
          <w:bCs w:val="0"/>
          <w:color w:val="000000"/>
          <w:sz w:val="32"/>
          <w:szCs w:val="32"/>
          <w:lang w:eastAsia="zh-CN"/>
        </w:rPr>
        <w:t>。</w:t>
      </w:r>
      <w:r>
        <w:rPr>
          <w:rFonts w:eastAsia="仿宋_GB2312"/>
          <w:color w:val="000000"/>
          <w:sz w:val="32"/>
          <w:szCs w:val="32"/>
        </w:rPr>
        <w:t>根据上述总体要求以及经济社会发展预期情况，202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年，全区财政一般预算草案如下：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2" w:firstLineChars="200"/>
        <w:textAlignment w:val="auto"/>
        <w:rPr>
          <w:rFonts w:eastAsia="楷体_GB2312"/>
          <w:b/>
          <w:bCs/>
          <w:color w:val="000000"/>
          <w:sz w:val="32"/>
          <w:szCs w:val="32"/>
          <w:highlight w:val="none"/>
        </w:rPr>
      </w:pPr>
      <w:r>
        <w:rPr>
          <w:rFonts w:eastAsia="楷体_GB2312"/>
          <w:b/>
          <w:bCs/>
          <w:color w:val="000000"/>
          <w:sz w:val="32"/>
          <w:szCs w:val="32"/>
          <w:highlight w:val="none"/>
        </w:rPr>
        <w:t xml:space="preserve">（一）全区财政预算情况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2" w:firstLineChars="200"/>
        <w:textAlignment w:val="auto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１、全区一般公共财政收支预算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——202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年，全区一般公共预算收入预计完成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30142</w:t>
      </w:r>
      <w:r>
        <w:rPr>
          <w:rFonts w:eastAsia="仿宋_GB2312"/>
          <w:color w:val="000000"/>
          <w:sz w:val="32"/>
          <w:szCs w:val="32"/>
        </w:rPr>
        <w:t>万元，比上年实际完成增长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eastAsia="仿宋_GB2312"/>
          <w:color w:val="000000"/>
          <w:sz w:val="32"/>
          <w:szCs w:val="32"/>
        </w:rPr>
        <w:t>％，其中：税收预算安排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25285</w:t>
      </w:r>
      <w:r>
        <w:rPr>
          <w:rFonts w:eastAsia="仿宋_GB2312"/>
          <w:color w:val="000000"/>
          <w:sz w:val="32"/>
          <w:szCs w:val="32"/>
        </w:rPr>
        <w:t>万元，非税收入安排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4857</w:t>
      </w:r>
      <w:r>
        <w:rPr>
          <w:rFonts w:eastAsia="仿宋_GB2312"/>
          <w:color w:val="000000"/>
          <w:sz w:val="32"/>
          <w:szCs w:val="32"/>
        </w:rPr>
        <w:t>万元，税收比重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84</w:t>
      </w:r>
      <w:r>
        <w:rPr>
          <w:rFonts w:eastAsia="仿宋_GB2312"/>
          <w:color w:val="000000"/>
          <w:sz w:val="32"/>
          <w:szCs w:val="32"/>
        </w:rPr>
        <w:t>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</w:rPr>
        <w:t>——202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年，全区一般公共预算收入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30142</w:t>
      </w:r>
      <w:r>
        <w:rPr>
          <w:rFonts w:eastAsia="仿宋_GB2312"/>
          <w:color w:val="000000"/>
          <w:sz w:val="32"/>
          <w:szCs w:val="32"/>
        </w:rPr>
        <w:t>万元，上级提前下达各项补助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57442</w:t>
      </w:r>
      <w:r>
        <w:rPr>
          <w:rFonts w:eastAsia="仿宋_GB2312"/>
          <w:color w:val="000000"/>
          <w:sz w:val="32"/>
          <w:szCs w:val="32"/>
        </w:rPr>
        <w:t>万元，上年结转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24466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地方政府一般债务转贷收入1100万元，动用预算稳定调节基金1700万元。</w:t>
      </w:r>
      <w:r>
        <w:rPr>
          <w:rFonts w:eastAsia="仿宋_GB2312"/>
          <w:color w:val="000000"/>
          <w:sz w:val="32"/>
          <w:szCs w:val="32"/>
        </w:rPr>
        <w:t>当年安排债务还本支出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1146</w:t>
      </w:r>
      <w:r>
        <w:rPr>
          <w:rFonts w:eastAsia="仿宋_GB2312"/>
          <w:color w:val="000000"/>
          <w:sz w:val="32"/>
          <w:szCs w:val="32"/>
        </w:rPr>
        <w:t>万元，调出资金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2827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eastAsia="仿宋_GB2312"/>
          <w:color w:val="000000"/>
          <w:sz w:val="32"/>
          <w:szCs w:val="32"/>
          <w:highlight w:val="none"/>
        </w:rPr>
        <w:t>上解支出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10743</w:t>
      </w:r>
      <w:r>
        <w:rPr>
          <w:rFonts w:eastAsia="仿宋_GB2312"/>
          <w:color w:val="000000"/>
          <w:sz w:val="32"/>
          <w:szCs w:val="32"/>
          <w:highlight w:val="none"/>
        </w:rPr>
        <w:t>万元，安排一般预算支出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100134</w:t>
      </w:r>
      <w:r>
        <w:rPr>
          <w:rFonts w:eastAsia="仿宋_GB2312"/>
          <w:color w:val="000000"/>
          <w:sz w:val="32"/>
          <w:szCs w:val="32"/>
          <w:highlight w:val="none"/>
        </w:rPr>
        <w:t xml:space="preserve">万元。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2" w:firstLineChars="200"/>
        <w:textAlignment w:val="auto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２、全区一般公共预算支出安排情况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</w:rPr>
        <w:t>——依据部门预算编制情况审核汇总，按照财政收支平衡的基本原则</w:t>
      </w:r>
      <w:r>
        <w:rPr>
          <w:rFonts w:eastAsia="仿宋_GB2312"/>
          <w:color w:val="000000"/>
          <w:sz w:val="32"/>
          <w:szCs w:val="32"/>
          <w:highlight w:val="none"/>
        </w:rPr>
        <w:t>，预算安排支出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100134</w:t>
      </w:r>
      <w:r>
        <w:rPr>
          <w:rFonts w:eastAsia="仿宋_GB2312"/>
          <w:color w:val="000000"/>
          <w:sz w:val="32"/>
          <w:szCs w:val="32"/>
          <w:highlight w:val="none"/>
        </w:rPr>
        <w:t>万元，比上年预算增加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7765</w:t>
      </w:r>
      <w:r>
        <w:rPr>
          <w:rFonts w:eastAsia="仿宋_GB2312"/>
          <w:color w:val="00000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2" w:firstLineChars="200"/>
        <w:textAlignment w:val="auto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３、政府性基金预算安排情况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eastAsia="仿宋_GB2312"/>
          <w:b/>
          <w:bCs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</w:rPr>
        <w:t>——202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年，上级提前下达政府性基</w:t>
      </w:r>
      <w:r>
        <w:rPr>
          <w:rFonts w:eastAsia="仿宋_GB2312"/>
          <w:color w:val="000000"/>
          <w:sz w:val="32"/>
          <w:szCs w:val="32"/>
          <w:highlight w:val="none"/>
        </w:rPr>
        <w:t>金补助收入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10326</w:t>
      </w:r>
      <w:r>
        <w:rPr>
          <w:rFonts w:eastAsia="仿宋_GB2312"/>
          <w:color w:val="000000"/>
          <w:sz w:val="32"/>
          <w:szCs w:val="32"/>
          <w:highlight w:val="none"/>
        </w:rPr>
        <w:t>万元，上年结余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16076</w:t>
      </w:r>
      <w:r>
        <w:rPr>
          <w:rFonts w:eastAsia="仿宋_GB2312"/>
          <w:color w:val="000000"/>
          <w:sz w:val="32"/>
          <w:szCs w:val="32"/>
          <w:highlight w:val="none"/>
        </w:rPr>
        <w:t>万元，调入资金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2827</w:t>
      </w:r>
      <w:r>
        <w:rPr>
          <w:rFonts w:eastAsia="仿宋_GB2312"/>
          <w:color w:val="000000"/>
          <w:sz w:val="32"/>
          <w:szCs w:val="32"/>
          <w:highlight w:val="none"/>
        </w:rPr>
        <w:t>万元，预算可安排财力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29229</w:t>
      </w:r>
      <w:r>
        <w:rPr>
          <w:rFonts w:eastAsia="仿宋_GB2312"/>
          <w:color w:val="000000"/>
          <w:sz w:val="32"/>
          <w:szCs w:val="32"/>
          <w:highlight w:val="none"/>
        </w:rPr>
        <w:t>万元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2" w:firstLineChars="200"/>
        <w:textAlignment w:val="auto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4、国有资本经营</w:t>
      </w:r>
      <w:r>
        <w:rPr>
          <w:rFonts w:hint="eastAsia" w:eastAsia="仿宋_GB2312"/>
          <w:b/>
          <w:bCs/>
          <w:color w:val="000000"/>
          <w:sz w:val="32"/>
          <w:szCs w:val="32"/>
        </w:rPr>
        <w:t>预算安排</w:t>
      </w:r>
      <w:r>
        <w:rPr>
          <w:rFonts w:eastAsia="仿宋_GB2312"/>
          <w:b/>
          <w:bCs/>
          <w:color w:val="000000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——202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年，上级提前下达国有资本经营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221</w:t>
      </w:r>
      <w:r>
        <w:rPr>
          <w:rFonts w:eastAsia="仿宋_GB2312"/>
          <w:color w:val="000000"/>
          <w:sz w:val="32"/>
          <w:szCs w:val="32"/>
        </w:rPr>
        <w:t>万元，可安排用于国有资本经营支出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221</w:t>
      </w:r>
      <w:r>
        <w:rPr>
          <w:rFonts w:eastAsia="仿宋_GB2312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2" w:firstLineChars="200"/>
        <w:textAlignment w:val="auto"/>
        <w:rPr>
          <w:rFonts w:eastAsia="楷体_GB2312"/>
          <w:b/>
          <w:bCs/>
          <w:color w:val="000000"/>
          <w:sz w:val="32"/>
          <w:szCs w:val="32"/>
          <w:highlight w:val="none"/>
        </w:rPr>
      </w:pPr>
      <w:r>
        <w:rPr>
          <w:rFonts w:eastAsia="楷体_GB2312"/>
          <w:b/>
          <w:bCs/>
          <w:color w:val="000000"/>
          <w:sz w:val="32"/>
          <w:szCs w:val="32"/>
          <w:highlight w:val="none"/>
        </w:rPr>
        <w:t>（二）202</w:t>
      </w:r>
      <w:r>
        <w:rPr>
          <w:rFonts w:hint="eastAsia" w:eastAsia="楷体_GB2312"/>
          <w:b/>
          <w:bCs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eastAsia="楷体_GB2312"/>
          <w:b/>
          <w:bCs/>
          <w:color w:val="000000"/>
          <w:sz w:val="32"/>
          <w:szCs w:val="32"/>
          <w:highlight w:val="none"/>
        </w:rPr>
        <w:t>年重点工作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2" w:firstLineChars="200"/>
        <w:textAlignment w:val="auto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1、</w:t>
      </w:r>
      <w:r>
        <w:rPr>
          <w:rFonts w:hint="eastAsia" w:eastAsia="仿宋_GB2312"/>
          <w:b/>
          <w:bCs/>
          <w:color w:val="000000"/>
          <w:sz w:val="32"/>
          <w:szCs w:val="32"/>
        </w:rPr>
        <w:t>以精培细管为手段，积蓄强劲发展动能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8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一是深挖税源保增长。坚持巩固基础财源、壮大主体财源、培育新兴财源并重，依法依规组织收入，强化财税联动，加强经济走势的评估预判，紧盯重点税源，关注重点税种，确保应收尽收、应缴尽缴。2024年全年预计收入30142万元，同比增幅7%。二是精准施策育动能。充分发挥积极财政政策作用，落实好结构性减税降费政策，不折不扣兑现涉企补贴等惠企纾困政策，进一步提振企业创新发展信心，激发市场主体的活力和发展后劲，助力实体经济发展壮大。三是发挥专项债券稳投资作用，认真做好项目储备工作，争取新增专项债券发行份额。完善招商引资财政引导机制，突出税收贡献率，真正把高附加值、高税收的产业项目引进来，推动经济高质量发展。四是重点支持产业结构优化升级和科技创新。优化科技投入结构，深入推进科技创新和体制机制创新，支持科技平台建设，以科技创新引领现代化产业体系建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80" w:lineRule="exact"/>
        <w:ind w:firstLine="642" w:firstLineChars="200"/>
        <w:textAlignment w:val="auto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2、</w:t>
      </w:r>
      <w:r>
        <w:rPr>
          <w:rFonts w:hint="eastAsia" w:eastAsia="仿宋_GB2312"/>
          <w:b/>
          <w:bCs/>
          <w:color w:val="000000"/>
          <w:sz w:val="32"/>
          <w:szCs w:val="32"/>
        </w:rPr>
        <w:t>以厉行节约为基调，重点落实民生保障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一是坚持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党政机关“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过紧日子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”不动摇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。树立过紧日子理念，健全过紧日子制度，严格过紧日子执行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坚持勤俭办一切事业，严格控制各类会议和培训数量、时间和规模。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二是高要求抓民生福祉。坚决落实以人民为中心的发展思想，聚焦人民群众需求，力求在社会保障、就业、医疗、教育等民生领域为社会提供兜底支持，大力推进基本公共服务均等化；支持就业优先战略，支持教育事业高质量发展，健全社会保障政策体系，推进农业农村现代化，深入打好污染防治攻坚战等。三是着力保障重大决策部署落实。统筹财政资金资源，增强落实党中央决策部署和省、市、区工作要求的财力保障。围绕高质量发展各项目标任务，坚持统筹兼顾、突出重点，优化财政支出结构，提高资金效益，推进财政政策更加精准高效，优先保障区委区政府确定的重点工作、重点项目和重点工程支出，主动服务建设新顺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2" w:firstLineChars="200"/>
        <w:textAlignment w:val="auto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以安全发展为底线，切实防范财政运行风险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一是高度重视债务风险。压实债务单位化解责任，强化对新发融资项目的监管，规范举债行为和举债渠道，积极化解存量隐性债务，严禁新增隐性债务，确保债务管理科学、规范、高效。二是坚持兜牢基层“三保”底线。牢固树立底线思维，在预算安排、预算执行和库款拨付等方面坚持“三保”支出的优先顺序。足额编制“三保”预算，确保资金不留硬缺口。三是严肃财经纪律，管好用好各项财政资金。继续加强财会监督，强化财税政策落实和预算管理监督，严肃查处各类违反财经纪律的行为。严格履行预算调整程序，准确向区人大报告支出预算和政策情况。不断健全财政资金监督机制，积极主动接受人大监督，加强审计和社会监督，切实提升财政管理水平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各位代表！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关山初度尘未洗，策马扬鞭再奋蹄。2024年财政工作目标已定、方向已明，我们将在区委的正确领导下和区人大、区政协监督指导下，迎难而上，以更加务实的作风、更加有为的担当，扎实推进财政各项工作，全力闯新路、开新局、抢新机、出新绩，为谱写顺河新篇章贡献财政智慧和力量！</w:t>
      </w:r>
    </w:p>
    <w:p>
      <w:pPr>
        <w:pStyle w:val="2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mes">
    <w:altName w:val="DejaVu Sans"/>
    <w:panose1 w:val="02020603050405020304"/>
    <w:charset w:val="00"/>
    <w:family w:val="auto"/>
    <w:pitch w:val="default"/>
    <w:sig w:usb0="00000000" w:usb1="00000000" w:usb2="00000009" w:usb3="00000000" w:csb0="000001F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uXW5UtAAAAAFAQAADwAAAAAAAAABACAAAAA4&#10;AAAAZHJzL2Rvd25yZXYueG1sUEsBAhQAFAAAAAgAh07iQH5rnJjDAQAAjwMAAA4AAAAAAAAAAQAg&#10;AAAANQ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- 1 -</w:t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NmU0NTY2ZWY5NGE4MGRiYTNiYjA5OWY3N2IxMjcifQ=="/>
  </w:docVars>
  <w:rsids>
    <w:rsidRoot w:val="00000000"/>
    <w:rsid w:val="00476233"/>
    <w:rsid w:val="009F2679"/>
    <w:rsid w:val="01236B22"/>
    <w:rsid w:val="01822E03"/>
    <w:rsid w:val="01BD0186"/>
    <w:rsid w:val="023E4A88"/>
    <w:rsid w:val="026006E2"/>
    <w:rsid w:val="02C02829"/>
    <w:rsid w:val="02F642DF"/>
    <w:rsid w:val="03452979"/>
    <w:rsid w:val="04C9397A"/>
    <w:rsid w:val="06155F47"/>
    <w:rsid w:val="07340ADC"/>
    <w:rsid w:val="075C37AB"/>
    <w:rsid w:val="07797F74"/>
    <w:rsid w:val="07F82721"/>
    <w:rsid w:val="08C37617"/>
    <w:rsid w:val="08EE6740"/>
    <w:rsid w:val="09172732"/>
    <w:rsid w:val="097F1A8E"/>
    <w:rsid w:val="0A2B3FEC"/>
    <w:rsid w:val="0AE05CC8"/>
    <w:rsid w:val="0B1E3145"/>
    <w:rsid w:val="0BDD571B"/>
    <w:rsid w:val="0D953218"/>
    <w:rsid w:val="0E107158"/>
    <w:rsid w:val="0E201B32"/>
    <w:rsid w:val="0E3D40ED"/>
    <w:rsid w:val="0F06164F"/>
    <w:rsid w:val="0F133510"/>
    <w:rsid w:val="0F6000C2"/>
    <w:rsid w:val="0F856D01"/>
    <w:rsid w:val="0FD416EE"/>
    <w:rsid w:val="10803567"/>
    <w:rsid w:val="123258EF"/>
    <w:rsid w:val="124A2743"/>
    <w:rsid w:val="12633CFA"/>
    <w:rsid w:val="13442980"/>
    <w:rsid w:val="13452433"/>
    <w:rsid w:val="143C0CA7"/>
    <w:rsid w:val="153E2F80"/>
    <w:rsid w:val="1581065A"/>
    <w:rsid w:val="16EE448C"/>
    <w:rsid w:val="17E04DB5"/>
    <w:rsid w:val="17F67D3A"/>
    <w:rsid w:val="18CD45C3"/>
    <w:rsid w:val="18D72085"/>
    <w:rsid w:val="19163D62"/>
    <w:rsid w:val="19EE2A43"/>
    <w:rsid w:val="1A293A7B"/>
    <w:rsid w:val="1A3B1314"/>
    <w:rsid w:val="1A5B5BFF"/>
    <w:rsid w:val="1A727303"/>
    <w:rsid w:val="1A756CC1"/>
    <w:rsid w:val="1AB57F79"/>
    <w:rsid w:val="1AD27157"/>
    <w:rsid w:val="1AED4AA9"/>
    <w:rsid w:val="1AF241FB"/>
    <w:rsid w:val="1C9C36AC"/>
    <w:rsid w:val="1CEB5018"/>
    <w:rsid w:val="1DE9680A"/>
    <w:rsid w:val="1E0E5766"/>
    <w:rsid w:val="1E307F15"/>
    <w:rsid w:val="1F8160E3"/>
    <w:rsid w:val="20325F7E"/>
    <w:rsid w:val="208D7C2E"/>
    <w:rsid w:val="20E72B14"/>
    <w:rsid w:val="21845A3B"/>
    <w:rsid w:val="219E0F68"/>
    <w:rsid w:val="21D97B35"/>
    <w:rsid w:val="22ED4040"/>
    <w:rsid w:val="2312139D"/>
    <w:rsid w:val="23155479"/>
    <w:rsid w:val="23695913"/>
    <w:rsid w:val="23797B8B"/>
    <w:rsid w:val="243901C4"/>
    <w:rsid w:val="24E862E1"/>
    <w:rsid w:val="256E2C8A"/>
    <w:rsid w:val="25A260A7"/>
    <w:rsid w:val="25D23258"/>
    <w:rsid w:val="26961EDB"/>
    <w:rsid w:val="273E299B"/>
    <w:rsid w:val="27B32BD6"/>
    <w:rsid w:val="28670211"/>
    <w:rsid w:val="28786926"/>
    <w:rsid w:val="299E1B49"/>
    <w:rsid w:val="2A1060BE"/>
    <w:rsid w:val="2A65699E"/>
    <w:rsid w:val="2A71744A"/>
    <w:rsid w:val="2A830965"/>
    <w:rsid w:val="2A985A21"/>
    <w:rsid w:val="2B1C6D6E"/>
    <w:rsid w:val="2B472675"/>
    <w:rsid w:val="2B5F386C"/>
    <w:rsid w:val="2BE834BA"/>
    <w:rsid w:val="2CD91F52"/>
    <w:rsid w:val="2CDF0814"/>
    <w:rsid w:val="2D3F0BF1"/>
    <w:rsid w:val="2EE45D6B"/>
    <w:rsid w:val="305F7D9F"/>
    <w:rsid w:val="31400EAF"/>
    <w:rsid w:val="31F75DB5"/>
    <w:rsid w:val="31FD4F24"/>
    <w:rsid w:val="32805A9D"/>
    <w:rsid w:val="32811B31"/>
    <w:rsid w:val="32985626"/>
    <w:rsid w:val="32F02F31"/>
    <w:rsid w:val="33F2699A"/>
    <w:rsid w:val="33FF22FA"/>
    <w:rsid w:val="344F421C"/>
    <w:rsid w:val="34905060"/>
    <w:rsid w:val="34B00BC9"/>
    <w:rsid w:val="354E4778"/>
    <w:rsid w:val="35BC3837"/>
    <w:rsid w:val="35FC0DE6"/>
    <w:rsid w:val="37353EA3"/>
    <w:rsid w:val="38C4270F"/>
    <w:rsid w:val="38EC419A"/>
    <w:rsid w:val="391E3BCE"/>
    <w:rsid w:val="3A322081"/>
    <w:rsid w:val="3A4570F3"/>
    <w:rsid w:val="3A4D6EBA"/>
    <w:rsid w:val="3A63223A"/>
    <w:rsid w:val="3AC1443A"/>
    <w:rsid w:val="3B26474C"/>
    <w:rsid w:val="3B3338EA"/>
    <w:rsid w:val="3BBC24AD"/>
    <w:rsid w:val="3C123F18"/>
    <w:rsid w:val="3C2A5EFE"/>
    <w:rsid w:val="3C5D7D05"/>
    <w:rsid w:val="3D756C14"/>
    <w:rsid w:val="3E261EFC"/>
    <w:rsid w:val="3E6C492D"/>
    <w:rsid w:val="3F4B6AEF"/>
    <w:rsid w:val="3F560617"/>
    <w:rsid w:val="3FB62558"/>
    <w:rsid w:val="40005FBA"/>
    <w:rsid w:val="40133308"/>
    <w:rsid w:val="41F320F5"/>
    <w:rsid w:val="427E252E"/>
    <w:rsid w:val="42B9625A"/>
    <w:rsid w:val="431B6011"/>
    <w:rsid w:val="43DF111F"/>
    <w:rsid w:val="454E6A62"/>
    <w:rsid w:val="456D2CB0"/>
    <w:rsid w:val="461F5BAF"/>
    <w:rsid w:val="46BD2949"/>
    <w:rsid w:val="47FB404A"/>
    <w:rsid w:val="48DF5182"/>
    <w:rsid w:val="49FE1F7F"/>
    <w:rsid w:val="4B0618B0"/>
    <w:rsid w:val="4B27503E"/>
    <w:rsid w:val="4B9111DC"/>
    <w:rsid w:val="4BFE0015"/>
    <w:rsid w:val="4CF24CCA"/>
    <w:rsid w:val="4DEE30B4"/>
    <w:rsid w:val="4DF01546"/>
    <w:rsid w:val="4E4935D5"/>
    <w:rsid w:val="4ED92533"/>
    <w:rsid w:val="4EE82838"/>
    <w:rsid w:val="4EF06483"/>
    <w:rsid w:val="4F1D03B6"/>
    <w:rsid w:val="4F6C6E7A"/>
    <w:rsid w:val="4FC51102"/>
    <w:rsid w:val="501C0736"/>
    <w:rsid w:val="511B6F73"/>
    <w:rsid w:val="51760DFC"/>
    <w:rsid w:val="51E1541E"/>
    <w:rsid w:val="51E260A2"/>
    <w:rsid w:val="51F37EF0"/>
    <w:rsid w:val="51F5697F"/>
    <w:rsid w:val="52437C94"/>
    <w:rsid w:val="534C3D5B"/>
    <w:rsid w:val="53DD0E57"/>
    <w:rsid w:val="545549D6"/>
    <w:rsid w:val="55735C18"/>
    <w:rsid w:val="55D9779F"/>
    <w:rsid w:val="567E4F4C"/>
    <w:rsid w:val="56D0377C"/>
    <w:rsid w:val="573265F8"/>
    <w:rsid w:val="5911517F"/>
    <w:rsid w:val="596D1DFE"/>
    <w:rsid w:val="599C5522"/>
    <w:rsid w:val="5A0F37BA"/>
    <w:rsid w:val="5A467862"/>
    <w:rsid w:val="5AB52C6E"/>
    <w:rsid w:val="5AF40348"/>
    <w:rsid w:val="5C4F0418"/>
    <w:rsid w:val="5C583771"/>
    <w:rsid w:val="5D995564"/>
    <w:rsid w:val="5DF72B90"/>
    <w:rsid w:val="5E251D4E"/>
    <w:rsid w:val="5EC4084D"/>
    <w:rsid w:val="5F4874C7"/>
    <w:rsid w:val="5F4E5ED3"/>
    <w:rsid w:val="5F8F6BEA"/>
    <w:rsid w:val="60483C3C"/>
    <w:rsid w:val="61B33BCB"/>
    <w:rsid w:val="61F10511"/>
    <w:rsid w:val="63643137"/>
    <w:rsid w:val="63A74535"/>
    <w:rsid w:val="66027B9E"/>
    <w:rsid w:val="67413F42"/>
    <w:rsid w:val="67584625"/>
    <w:rsid w:val="689E722B"/>
    <w:rsid w:val="69B10AAA"/>
    <w:rsid w:val="69E64ED7"/>
    <w:rsid w:val="6A302FA3"/>
    <w:rsid w:val="6ADA6C11"/>
    <w:rsid w:val="6C561AD8"/>
    <w:rsid w:val="6CE15E47"/>
    <w:rsid w:val="6CF349D1"/>
    <w:rsid w:val="6DAF37D3"/>
    <w:rsid w:val="6DE24C48"/>
    <w:rsid w:val="6E4236B7"/>
    <w:rsid w:val="6E8D72AA"/>
    <w:rsid w:val="6EE113A4"/>
    <w:rsid w:val="6F593630"/>
    <w:rsid w:val="6F98353C"/>
    <w:rsid w:val="700C5AFF"/>
    <w:rsid w:val="70D32F6E"/>
    <w:rsid w:val="71567164"/>
    <w:rsid w:val="7158591D"/>
    <w:rsid w:val="71A54CBE"/>
    <w:rsid w:val="71F95A89"/>
    <w:rsid w:val="72620A4E"/>
    <w:rsid w:val="72E31848"/>
    <w:rsid w:val="74873851"/>
    <w:rsid w:val="749800C3"/>
    <w:rsid w:val="7508401D"/>
    <w:rsid w:val="75B551D4"/>
    <w:rsid w:val="75FE4640"/>
    <w:rsid w:val="770279DA"/>
    <w:rsid w:val="77734C8C"/>
    <w:rsid w:val="77F741EF"/>
    <w:rsid w:val="783A38D3"/>
    <w:rsid w:val="790E0EF6"/>
    <w:rsid w:val="79D83DD5"/>
    <w:rsid w:val="7A135DE6"/>
    <w:rsid w:val="7AA930FB"/>
    <w:rsid w:val="7AD81683"/>
    <w:rsid w:val="7AFF7D72"/>
    <w:rsid w:val="7B131D54"/>
    <w:rsid w:val="7C972694"/>
    <w:rsid w:val="7D020042"/>
    <w:rsid w:val="7D2106AF"/>
    <w:rsid w:val="7D8D727A"/>
    <w:rsid w:val="7DDA2983"/>
    <w:rsid w:val="7DFC7E0D"/>
    <w:rsid w:val="7EAF6EA3"/>
    <w:rsid w:val="7ED06D3F"/>
    <w:rsid w:val="7EED0F42"/>
    <w:rsid w:val="7F0F6899"/>
    <w:rsid w:val="7F160CF6"/>
    <w:rsid w:val="7FBE4ACB"/>
    <w:rsid w:val="BD9EAF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643" w:firstLineChars="200"/>
    </w:pPr>
    <w:rPr>
      <w:rFonts w:ascii="仿宋_GB2312" w:eastAsia="仿宋_GB2312"/>
      <w:b/>
      <w:bCs/>
      <w:sz w:val="32"/>
    </w:rPr>
  </w:style>
  <w:style w:type="paragraph" w:styleId="5">
    <w:name w:val="Body Text Indent 2"/>
    <w:basedOn w:val="1"/>
    <w:qFormat/>
    <w:uiPriority w:val="0"/>
    <w:pPr>
      <w:ind w:firstLine="640" w:firstLineChars="200"/>
    </w:pPr>
    <w:rPr>
      <w:rFonts w:ascii="黑体" w:eastAsia="黑体"/>
      <w:sz w:val="32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4">
    <w:name w:val="apple-converted-spac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soft.netnest.com.cn</Company>
  <Pages>11</Pages>
  <Words>5215</Words>
  <Characters>5693</Characters>
  <Lines>53</Lines>
  <Paragraphs>15</Paragraphs>
  <TotalTime>55</TotalTime>
  <ScaleCrop>false</ScaleCrop>
  <LinksUpToDate>false</LinksUpToDate>
  <CharactersWithSpaces>5705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2016-08-16T14:01:00Z</dcterms:created>
  <dc:creator>李磊</dc:creator>
  <cp:lastModifiedBy>inspur</cp:lastModifiedBy>
  <cp:lastPrinted>2024-02-21T18:08:00Z</cp:lastPrinted>
  <dcterms:modified xsi:type="dcterms:W3CDTF">2024-03-18T15:04:35Z</dcterms:modified>
  <dc:title>关于2013年半年财政报告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8B90F3CFF58348FF90334BEE25C0ADC5_13</vt:lpwstr>
  </property>
</Properties>
</file>